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1BD1" w14:textId="7F045F3C" w:rsidR="001A52E7" w:rsidRPr="00AE00AF" w:rsidRDefault="00E91858" w:rsidP="00AE00AF">
      <w:pPr>
        <w:pStyle w:val="Title"/>
        <w:rPr>
          <w:sz w:val="50"/>
          <w:szCs w:val="50"/>
        </w:rPr>
      </w:pPr>
      <w:r w:rsidRPr="00AE00AF">
        <w:rPr>
          <w:sz w:val="50"/>
          <w:szCs w:val="50"/>
        </w:rPr>
        <w:t>Registering for the Learn-IT Conference via TDM</w:t>
      </w:r>
    </w:p>
    <w:p w14:paraId="291F1A05" w14:textId="2B13E7D0" w:rsidR="007F43F0" w:rsidRPr="003916A8" w:rsidRDefault="000A5617" w:rsidP="003916A8">
      <w:pPr>
        <w:pStyle w:val="Subtitle"/>
      </w:pPr>
      <w:r>
        <w:t xml:space="preserve">Prepared by </w:t>
      </w:r>
      <w:r w:rsidR="00254293">
        <w:t>Hal Hinderliter</w:t>
      </w:r>
      <w:r>
        <w:t xml:space="preserve"> </w:t>
      </w:r>
      <w:hyperlink r:id="rId7" w:history="1">
        <w:r w:rsidRPr="000A5617">
          <w:rPr>
            <w:rStyle w:val="Hyperlink"/>
          </w:rPr>
          <w:t>hhinderliter1@niu.edu</w:t>
        </w:r>
      </w:hyperlink>
    </w:p>
    <w:p w14:paraId="0442F770" w14:textId="567489C3" w:rsidR="007048EF" w:rsidRPr="00D7681B" w:rsidRDefault="00254293" w:rsidP="00AE00AF">
      <w:pPr>
        <w:pStyle w:val="Heading1"/>
        <w:jc w:val="left"/>
      </w:pPr>
      <w:bookmarkStart w:id="0" w:name="_Toc45901953"/>
      <w:r>
        <w:t>Introductio</w:t>
      </w:r>
      <w:r w:rsidR="007048EF" w:rsidRPr="00D7681B">
        <w:t>n</w:t>
      </w:r>
      <w:bookmarkEnd w:id="0"/>
    </w:p>
    <w:p w14:paraId="2A915502" w14:textId="3C196152" w:rsidR="008D4224" w:rsidRDefault="00CA682B" w:rsidP="007048EF">
      <w:r>
        <w:rPr>
          <w:rFonts w:cs="Arial"/>
        </w:rPr>
        <w:t>This year’s Learn-IT Conference is a virtual event, hosted on the Blackboard learning management system</w:t>
      </w:r>
      <w:r w:rsidR="000A5617">
        <w:t>.</w:t>
      </w:r>
      <w:r>
        <w:t xml:space="preserve"> </w:t>
      </w:r>
      <w:proofErr w:type="gramStart"/>
      <w:r>
        <w:t>In order to</w:t>
      </w:r>
      <w:proofErr w:type="gramEnd"/>
      <w:r>
        <w:t xml:space="preserve"> provide access to </w:t>
      </w:r>
      <w:r w:rsidR="00ED60BB">
        <w:t xml:space="preserve">attendees from outside of NIU, we are using Blackboard’s </w:t>
      </w:r>
      <w:r w:rsidR="00ED60BB" w:rsidRPr="00ED60BB">
        <w:t>Training and Development Manager</w:t>
      </w:r>
      <w:r w:rsidR="00ED60BB">
        <w:t xml:space="preserve"> (TDM) system. Unfortunately, this complicates the process of enrolling in Learn-IT courses.</w:t>
      </w:r>
      <w:r w:rsidR="001F61A0">
        <w:t xml:space="preserve"> The </w:t>
      </w:r>
      <w:r w:rsidR="000A5617">
        <w:t xml:space="preserve">following job aid shows how to </w:t>
      </w:r>
      <w:r w:rsidR="00ED60BB">
        <w:t>access the Learn-IT conference, beginning with the public webpage for the conference followed by TDM registration then into the Blackboard course</w:t>
      </w:r>
      <w:r w:rsidR="001F61A0">
        <w:t>.</w:t>
      </w:r>
    </w:p>
    <w:p w14:paraId="26BD2437" w14:textId="34075669" w:rsidR="0062578E" w:rsidRPr="00D7681B" w:rsidRDefault="0062578E" w:rsidP="00AE00AF">
      <w:pPr>
        <w:pStyle w:val="Heading1"/>
        <w:jc w:val="left"/>
      </w:pPr>
      <w:bookmarkStart w:id="1" w:name="_Toc45901954"/>
      <w:r>
        <w:t>Assumptions</w:t>
      </w:r>
    </w:p>
    <w:p w14:paraId="412319B0" w14:textId="0CB38C80" w:rsidR="0062578E" w:rsidRDefault="0062578E" w:rsidP="0062578E">
      <w:pPr>
        <w:pStyle w:val="ListBullet2"/>
      </w:pPr>
      <w:r>
        <w:t>These instructions assume that you</w:t>
      </w:r>
      <w:r w:rsidR="00ED60BB">
        <w:t xml:space="preserve"> have a reliable connection to the Internet and</w:t>
      </w:r>
      <w:r>
        <w:t xml:space="preserve"> are already familiar with how to use </w:t>
      </w:r>
      <w:r w:rsidR="00ED60BB">
        <w:t>a web browser</w:t>
      </w:r>
      <w:r>
        <w:t xml:space="preserve">. </w:t>
      </w:r>
      <w:r w:rsidR="00303889">
        <w:t xml:space="preserve">It is also assumed that </w:t>
      </w:r>
      <w:r w:rsidR="00ED60BB">
        <w:t>a suitable web browser</w:t>
      </w:r>
      <w:r w:rsidR="00303889">
        <w:t xml:space="preserve"> is already installed and operational on your computer. </w:t>
      </w:r>
    </w:p>
    <w:bookmarkEnd w:id="1"/>
    <w:p w14:paraId="57FD49DD" w14:textId="2EAED44D" w:rsidR="00B03A2B" w:rsidRPr="00D7681B" w:rsidRDefault="00ED60BB" w:rsidP="00AE00AF">
      <w:pPr>
        <w:pStyle w:val="Heading1"/>
        <w:jc w:val="left"/>
      </w:pPr>
      <w:r>
        <w:t>Instructions</w:t>
      </w:r>
    </w:p>
    <w:p w14:paraId="0B49F667" w14:textId="29E9E609" w:rsidR="006E6CDE" w:rsidRDefault="003134C6" w:rsidP="0079638A">
      <w:pPr>
        <w:pStyle w:val="ListBullet2"/>
        <w:numPr>
          <w:ilvl w:val="0"/>
          <w:numId w:val="19"/>
        </w:numPr>
        <w:contextualSpacing w:val="0"/>
      </w:pPr>
      <w:r>
        <w:t>Verify</w:t>
      </w:r>
      <w:r w:rsidRPr="003134C6">
        <w:t xml:space="preserve"> that your web browser is configured to accept third-party cookies. </w:t>
      </w:r>
      <w:r w:rsidR="00AE00AF">
        <w:t>View</w:t>
      </w:r>
      <w:r w:rsidRPr="003134C6">
        <w:t xml:space="preserve"> </w:t>
      </w:r>
      <w:hyperlink r:id="rId8" w:history="1">
        <w:r w:rsidRPr="00AE00AF">
          <w:rPr>
            <w:rStyle w:val="Hyperlink"/>
          </w:rPr>
          <w:t>directions on how to enable cookies for all major web browsers</w:t>
        </w:r>
      </w:hyperlink>
      <w:r w:rsidR="00AE00AF">
        <w:t>.</w:t>
      </w:r>
      <w:r>
        <w:t xml:space="preserve"> </w:t>
      </w:r>
    </w:p>
    <w:p w14:paraId="64D25B85" w14:textId="45B5E646" w:rsidR="003134C6" w:rsidRDefault="003134C6" w:rsidP="0079638A">
      <w:pPr>
        <w:pStyle w:val="ListBullet2"/>
        <w:numPr>
          <w:ilvl w:val="0"/>
          <w:numId w:val="19"/>
        </w:numPr>
        <w:contextualSpacing w:val="0"/>
      </w:pPr>
      <w:r>
        <w:t xml:space="preserve">Use a web browser to access the </w:t>
      </w:r>
      <w:hyperlink r:id="rId9" w:history="1">
        <w:r w:rsidRPr="00AE00AF">
          <w:rPr>
            <w:rStyle w:val="Hyperlink"/>
          </w:rPr>
          <w:t>conference’s public webpage</w:t>
        </w:r>
      </w:hyperlink>
      <w:r>
        <w:t xml:space="preserve"> </w:t>
      </w:r>
    </w:p>
    <w:p w14:paraId="1B0F6968" w14:textId="7D976241" w:rsidR="0082169B" w:rsidRDefault="003134C6" w:rsidP="0079638A">
      <w:pPr>
        <w:pStyle w:val="ListBullet2"/>
        <w:numPr>
          <w:ilvl w:val="0"/>
          <w:numId w:val="19"/>
        </w:numPr>
        <w:contextualSpacing w:val="0"/>
      </w:pPr>
      <w:r>
        <w:t>C</w:t>
      </w:r>
      <w:r w:rsidRPr="003134C6">
        <w:t>lick the red "Register for Learn-IT" button</w:t>
      </w:r>
      <w:r>
        <w:t>; this will open the TDM web</w:t>
      </w:r>
      <w:r w:rsidR="003D5182">
        <w:t>page.</w:t>
      </w:r>
      <w:r w:rsidR="0082169B">
        <w:t xml:space="preserve"> </w:t>
      </w:r>
    </w:p>
    <w:p w14:paraId="33A15B6A" w14:textId="447D8798" w:rsidR="0082169B" w:rsidRDefault="0082169B" w:rsidP="003D3995">
      <w:pPr>
        <w:pStyle w:val="ListBullet2"/>
        <w:numPr>
          <w:ilvl w:val="0"/>
          <w:numId w:val="0"/>
        </w:numPr>
        <w:contextualSpacing w:val="0"/>
        <w:jc w:val="center"/>
      </w:pPr>
      <w:r>
        <w:rPr>
          <w:noProof/>
        </w:rPr>
        <w:drawing>
          <wp:inline distT="0" distB="0" distL="0" distR="0" wp14:anchorId="1EC7AE4F" wp14:editId="13FD4381">
            <wp:extent cx="4681728" cy="3465576"/>
            <wp:effectExtent l="0" t="0" r="5080" b="1905"/>
            <wp:docPr id="12" name="Picture 12" descr="Screen shot of the Learn-IT 2022 public website, showing the &quot;Register for Learn-IT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 shot of the Learn-IT 2022 public website, showing the &quot;Register for Learn-IT&quot; button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4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F509F" w14:textId="77777777" w:rsidR="00EC6F11" w:rsidRDefault="00EC6F11">
      <w:pPr>
        <w:spacing w:after="0"/>
      </w:pPr>
      <w:r>
        <w:br w:type="page"/>
      </w:r>
    </w:p>
    <w:p w14:paraId="46175D3A" w14:textId="6958FC2E" w:rsidR="00EC6F11" w:rsidRDefault="003D5182" w:rsidP="00EC6F11">
      <w:pPr>
        <w:pStyle w:val="ListBullet2"/>
        <w:numPr>
          <w:ilvl w:val="0"/>
          <w:numId w:val="19"/>
        </w:numPr>
        <w:contextualSpacing w:val="0"/>
      </w:pPr>
      <w:r>
        <w:lastRenderedPageBreak/>
        <w:t>The TDM webpage should display a tile for the Learn-IT conference</w:t>
      </w:r>
      <w:r w:rsidR="0082169B">
        <w:t xml:space="preserve"> (</w:t>
      </w:r>
      <w:r>
        <w:t>if it does not, use the “Refine your search” box to search for Learn-IT</w:t>
      </w:r>
      <w:r w:rsidR="0082169B">
        <w:t>)</w:t>
      </w:r>
      <w:r>
        <w:t>.</w:t>
      </w:r>
      <w:r w:rsidR="0082169B">
        <w:t xml:space="preserve"> </w:t>
      </w:r>
      <w:r w:rsidR="0082169B" w:rsidRPr="0082169B">
        <w:t xml:space="preserve">Click on the purple “Enroll Now” button on the Learn-IT tile. </w:t>
      </w:r>
    </w:p>
    <w:p w14:paraId="6AF12504" w14:textId="276BF9EB" w:rsidR="003D3995" w:rsidRDefault="00EC6F11" w:rsidP="003D3995">
      <w:pPr>
        <w:pStyle w:val="ListBullet2"/>
        <w:numPr>
          <w:ilvl w:val="0"/>
          <w:numId w:val="0"/>
        </w:numPr>
        <w:contextualSpacing w:val="0"/>
        <w:jc w:val="center"/>
      </w:pPr>
      <w:r>
        <w:rPr>
          <w:noProof/>
        </w:rPr>
        <w:drawing>
          <wp:inline distT="0" distB="0" distL="0" distR="0" wp14:anchorId="745F811D" wp14:editId="0EE92016">
            <wp:extent cx="3154680" cy="2551176"/>
            <wp:effectExtent l="0" t="0" r="0" b="1905"/>
            <wp:docPr id="14" name="Picture 14" descr="Screen shot of the Blackboard TDM web page for Learn-IT, showing the “Enroll Now”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 shot of the Blackboard TDM web page for Learn-IT, showing the “Enroll Now” button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E688C" w14:textId="77777777" w:rsidR="003D3995" w:rsidRDefault="003D3995" w:rsidP="0079638A">
      <w:pPr>
        <w:pStyle w:val="ListBullet2"/>
        <w:numPr>
          <w:ilvl w:val="0"/>
          <w:numId w:val="19"/>
        </w:numPr>
        <w:contextualSpacing w:val="0"/>
      </w:pPr>
      <w:r w:rsidRPr="0082169B">
        <w:t>This will cause a new window to open from the right side of your screen, displaying the TDM catalog page for Learn-IT.</w:t>
      </w:r>
      <w:r>
        <w:t xml:space="preserve"> </w:t>
      </w:r>
      <w:r w:rsidR="003D5182">
        <w:t>Within the</w:t>
      </w:r>
      <w:r w:rsidR="00EB0540">
        <w:t xml:space="preserve"> catalog page is a</w:t>
      </w:r>
      <w:r w:rsidR="003D5182">
        <w:t xml:space="preserve"> large gray box</w:t>
      </w:r>
      <w:r w:rsidR="00EB0540">
        <w:t>, which contains</w:t>
      </w:r>
      <w:r w:rsidR="003D5182">
        <w:t xml:space="preserve"> another purple “Enroll Now” button. </w:t>
      </w:r>
      <w:r w:rsidR="003D5182" w:rsidRPr="00EB0540">
        <w:rPr>
          <w:i/>
          <w:iCs/>
        </w:rPr>
        <w:t xml:space="preserve">If you do not see a purple Enroll Now button on this catalog page, please try accessing the site using a different web browser. </w:t>
      </w:r>
      <w:r w:rsidR="003D5182">
        <w:t>(The Safari and Chrome browsers on the Mac platform occasionally fail to display the button.)</w:t>
      </w:r>
      <w:r w:rsidR="00EB0540">
        <w:t xml:space="preserve"> Click the purple “Enroll Now” button.</w:t>
      </w:r>
    </w:p>
    <w:p w14:paraId="0875603A" w14:textId="4AA3A51B" w:rsidR="003D5182" w:rsidRDefault="003D3995" w:rsidP="003D3995">
      <w:pPr>
        <w:pStyle w:val="ListBullet2"/>
        <w:numPr>
          <w:ilvl w:val="0"/>
          <w:numId w:val="0"/>
        </w:numPr>
        <w:contextualSpacing w:val="0"/>
        <w:jc w:val="center"/>
      </w:pPr>
      <w:r>
        <w:rPr>
          <w:noProof/>
        </w:rPr>
        <w:drawing>
          <wp:inline distT="0" distB="0" distL="0" distR="0" wp14:anchorId="2762A624" wp14:editId="0189A315">
            <wp:extent cx="4626864" cy="2157984"/>
            <wp:effectExtent l="0" t="0" r="0" b="1270"/>
            <wp:docPr id="15" name="Picture 15" descr="Screen shot of the TDM catalog page for Learn-IT, showing another “Enroll Now”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 shot of the TDM catalog page for Learn-IT, showing another “Enroll Now” button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AFBA" w14:textId="77777777" w:rsidR="00EC6F11" w:rsidRDefault="00EC6F11">
      <w:pPr>
        <w:spacing w:after="0"/>
      </w:pPr>
      <w:r>
        <w:br w:type="page"/>
      </w:r>
    </w:p>
    <w:p w14:paraId="05D477F3" w14:textId="4D54AA6B" w:rsidR="00334C5B" w:rsidRDefault="00EB0540" w:rsidP="00205820">
      <w:pPr>
        <w:pStyle w:val="ListBullet2"/>
        <w:numPr>
          <w:ilvl w:val="0"/>
          <w:numId w:val="19"/>
        </w:numPr>
        <w:contextualSpacing w:val="0"/>
      </w:pPr>
      <w:r>
        <w:lastRenderedPageBreak/>
        <w:t>A pop-up window should open, containing the message, “You need to register or login to be able to enroll.” In you already have NIU log-in credentials, click the “Sign In” button. If you do not have NIU log-in credentials, click the “Sign Up” button.</w:t>
      </w:r>
      <w:r w:rsidR="00334C5B">
        <w:t xml:space="preserve"> </w:t>
      </w:r>
    </w:p>
    <w:p w14:paraId="2614EE9E" w14:textId="4228C58C" w:rsidR="00EC6F11" w:rsidRDefault="00EC6F11" w:rsidP="00EC6F11">
      <w:pPr>
        <w:pStyle w:val="ListBullet2"/>
        <w:numPr>
          <w:ilvl w:val="0"/>
          <w:numId w:val="0"/>
        </w:numPr>
        <w:ind w:left="360"/>
        <w:contextualSpacing w:val="0"/>
        <w:jc w:val="center"/>
      </w:pPr>
      <w:r>
        <w:rPr>
          <w:noProof/>
        </w:rPr>
        <w:drawing>
          <wp:inline distT="0" distB="0" distL="0" distR="0" wp14:anchorId="312F6939" wp14:editId="2519C9A1">
            <wp:extent cx="2185416" cy="1197864"/>
            <wp:effectExtent l="12700" t="12700" r="12065" b="8890"/>
            <wp:docPr id="16" name="Picture 16" descr="Screen shot of a pop-up dialog box, showing both “Sign In” and “Sign Up” butt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creen shot of a pop-up dialog box, showing both “Sign In” and “Sign Up” buttons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1978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9132DB" w14:textId="4118C5D3" w:rsidR="008E4673" w:rsidRPr="008E4673" w:rsidRDefault="008E4673" w:rsidP="0079638A">
      <w:pPr>
        <w:pStyle w:val="ListBullet2"/>
        <w:numPr>
          <w:ilvl w:val="0"/>
          <w:numId w:val="19"/>
        </w:numPr>
        <w:contextualSpacing w:val="0"/>
      </w:pPr>
      <w:r w:rsidRPr="008E4673">
        <w:t>Please complete the sign-up process if you do not have NIU log-in credentials.</w:t>
      </w:r>
      <w:r>
        <w:t xml:space="preserve"> If you already have NIU log-in credentials, proceed to the next step.</w:t>
      </w:r>
    </w:p>
    <w:p w14:paraId="78F51942" w14:textId="1CD98522" w:rsidR="008E4673" w:rsidRDefault="008E4673" w:rsidP="0079638A">
      <w:pPr>
        <w:pStyle w:val="ListBullet2"/>
        <w:numPr>
          <w:ilvl w:val="0"/>
          <w:numId w:val="19"/>
        </w:numPr>
        <w:contextualSpacing w:val="0"/>
      </w:pPr>
      <w:r>
        <w:t>Clicking the “Sign In” button opens NIU Training and Development Sign-In Instructions webpage</w:t>
      </w:r>
      <w:r w:rsidRPr="008E4673">
        <w:t>.</w:t>
      </w:r>
      <w:r>
        <w:t xml:space="preserve"> </w:t>
      </w:r>
      <w:r w:rsidRPr="00944B11">
        <w:rPr>
          <w:i/>
          <w:iCs/>
        </w:rPr>
        <w:t>By default, this webpage is set to accommodate non-NIU participants, who will need to log in to their Blackboard TDM account using the Username and Password obtained in the previous step.</w:t>
      </w:r>
      <w:r>
        <w:t xml:space="preserve"> </w:t>
      </w:r>
      <w:r w:rsidRPr="00944B11">
        <w:rPr>
          <w:b/>
          <w:bCs/>
        </w:rPr>
        <w:t>If you already have NIU log-in credentials</w:t>
      </w:r>
      <w:r>
        <w:t xml:space="preserve">, </w:t>
      </w:r>
      <w:r w:rsidR="00944B11">
        <w:t xml:space="preserve">you must </w:t>
      </w:r>
      <w:r w:rsidR="00944B11" w:rsidRPr="00944B11">
        <w:rPr>
          <w:b/>
          <w:bCs/>
        </w:rPr>
        <w:t xml:space="preserve">click on the radio button in front of the words, “Log in with your NIU </w:t>
      </w:r>
      <w:proofErr w:type="spellStart"/>
      <w:r w:rsidR="00944B11" w:rsidRPr="00944B11">
        <w:rPr>
          <w:b/>
          <w:bCs/>
        </w:rPr>
        <w:t>AccountID</w:t>
      </w:r>
      <w:proofErr w:type="spellEnd"/>
      <w:r w:rsidR="00944B11" w:rsidRPr="00944B11">
        <w:rPr>
          <w:b/>
          <w:bCs/>
        </w:rPr>
        <w:t>”</w:t>
      </w:r>
      <w:r w:rsidR="00944B11">
        <w:rPr>
          <w:b/>
          <w:bCs/>
        </w:rPr>
        <w:t xml:space="preserve"> </w:t>
      </w:r>
      <w:r w:rsidR="00944B11" w:rsidRPr="00944B11">
        <w:t>then click the resulting red “</w:t>
      </w:r>
      <w:r w:rsidR="00AE00AF">
        <w:t>log in</w:t>
      </w:r>
      <w:r w:rsidR="00944B11" w:rsidRPr="00944B11">
        <w:t>” button.</w:t>
      </w:r>
      <w:r w:rsidR="00334C5B">
        <w:t xml:space="preserve"> </w:t>
      </w:r>
    </w:p>
    <w:p w14:paraId="4AE393A2" w14:textId="6A9F7091" w:rsidR="00334C5B" w:rsidRPr="00944B11" w:rsidRDefault="00734486" w:rsidP="00734486">
      <w:pPr>
        <w:pStyle w:val="ListBullet2"/>
        <w:numPr>
          <w:ilvl w:val="0"/>
          <w:numId w:val="0"/>
        </w:numPr>
        <w:contextualSpacing w:val="0"/>
        <w:jc w:val="center"/>
      </w:pPr>
      <w:r>
        <w:rPr>
          <w:noProof/>
        </w:rPr>
        <w:drawing>
          <wp:inline distT="0" distB="0" distL="0" distR="0" wp14:anchorId="01AE5DB2" wp14:editId="2F8ED7CD">
            <wp:extent cx="4636008" cy="1956816"/>
            <wp:effectExtent l="0" t="0" r="0" b="0"/>
            <wp:docPr id="18" name="Picture 18" descr="Screen shot of the NIU Training and Development webpage, displaying the Sign-In instru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creen shot of the NIU Training and Development webpage, displaying the Sign-In instructions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60225" w14:textId="2E61508E" w:rsidR="008E4673" w:rsidRPr="008E4673" w:rsidRDefault="00944B11" w:rsidP="0079638A">
      <w:pPr>
        <w:pStyle w:val="ListBullet2"/>
        <w:numPr>
          <w:ilvl w:val="0"/>
          <w:numId w:val="19"/>
        </w:numPr>
        <w:contextualSpacing w:val="0"/>
      </w:pPr>
      <w:r>
        <w:t>The first time you click the red “</w:t>
      </w:r>
      <w:r w:rsidR="00AE00AF">
        <w:t>log in</w:t>
      </w:r>
      <w:r>
        <w:t>” button, you may be required to complete a two-factor authentication challenge</w:t>
      </w:r>
      <w:r w:rsidR="008E4673" w:rsidRPr="008E4673">
        <w:t>.</w:t>
      </w:r>
      <w:r>
        <w:t xml:space="preserve"> (Enter a text code that is sent to your mobile phone or email.)</w:t>
      </w:r>
    </w:p>
    <w:p w14:paraId="1B6381FB" w14:textId="25FFE1CE" w:rsidR="00EB0540" w:rsidRDefault="00944B11" w:rsidP="0079638A">
      <w:pPr>
        <w:pStyle w:val="ListBullet2"/>
        <w:numPr>
          <w:ilvl w:val="0"/>
          <w:numId w:val="19"/>
        </w:numPr>
        <w:contextualSpacing w:val="0"/>
      </w:pPr>
      <w:r>
        <w:t xml:space="preserve">Once you’ve successfully logged into the TDM Course Catalog site, </w:t>
      </w:r>
      <w:r w:rsidR="003363C6">
        <w:t>use the page numbers at the bottom of the screen to get to the last page of the catalog</w:t>
      </w:r>
      <w:r>
        <w:t>.</w:t>
      </w:r>
      <w:r w:rsidR="003363C6">
        <w:t xml:space="preserve"> Locate the Learn-IT tile on that page, then click it.</w:t>
      </w:r>
    </w:p>
    <w:p w14:paraId="648654C8" w14:textId="35D766C8" w:rsidR="003363C6" w:rsidRDefault="003363C6" w:rsidP="0079638A">
      <w:pPr>
        <w:pStyle w:val="ListBullet2"/>
        <w:numPr>
          <w:ilvl w:val="0"/>
          <w:numId w:val="19"/>
        </w:numPr>
        <w:contextualSpacing w:val="0"/>
      </w:pPr>
      <w:r>
        <w:t xml:space="preserve">This time, the large gray box on the catalog page should contain a purple button that says, “Go to My Dashboard.” Click it to access </w:t>
      </w:r>
      <w:r w:rsidR="0079638A">
        <w:t>your TDM Dashboard</w:t>
      </w:r>
      <w:r>
        <w:t xml:space="preserve">. </w:t>
      </w:r>
    </w:p>
    <w:p w14:paraId="238ED2DC" w14:textId="50724B7D" w:rsidR="00734486" w:rsidRDefault="00734486" w:rsidP="00734486">
      <w:pPr>
        <w:pStyle w:val="ListBullet2"/>
        <w:numPr>
          <w:ilvl w:val="0"/>
          <w:numId w:val="0"/>
        </w:numPr>
        <w:contextualSpacing w:val="0"/>
        <w:jc w:val="center"/>
      </w:pPr>
      <w:r>
        <w:rPr>
          <w:noProof/>
        </w:rPr>
        <w:drawing>
          <wp:inline distT="0" distB="0" distL="0" distR="0" wp14:anchorId="4BC6D12D" wp14:editId="004D1A6C">
            <wp:extent cx="2194560" cy="1033272"/>
            <wp:effectExtent l="12700" t="12700" r="15240" b="8255"/>
            <wp:docPr id="19" name="Picture 19" descr="Screen shot of a pop-up dialog box, displaying the &quot;Go to My Dashboard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 shot of a pop-up dialog box, displaying the &quot;Go to My Dashboard&quot; button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332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FBF4B0" w14:textId="473CA4CF" w:rsidR="001B1B2A" w:rsidRDefault="001B1B2A" w:rsidP="0079638A">
      <w:pPr>
        <w:pStyle w:val="ListBullet2"/>
        <w:numPr>
          <w:ilvl w:val="0"/>
          <w:numId w:val="19"/>
        </w:numPr>
        <w:contextualSpacing w:val="0"/>
      </w:pPr>
      <w:r>
        <w:t>From the Dashboard page</w:t>
      </w:r>
      <w:r w:rsidR="0079638A">
        <w:t>, look to the right side of the window to find a purple button that says, “Continue Course.” Click it to access the Blackboard course.</w:t>
      </w:r>
    </w:p>
    <w:p w14:paraId="7C8B72F6" w14:textId="2B6FD7E9" w:rsidR="00734486" w:rsidRDefault="00734486" w:rsidP="005C13AE">
      <w:pPr>
        <w:pStyle w:val="ListBullet2"/>
        <w:numPr>
          <w:ilvl w:val="0"/>
          <w:numId w:val="0"/>
        </w:numPr>
        <w:contextualSpacing w:val="0"/>
        <w:jc w:val="center"/>
      </w:pPr>
      <w:r>
        <w:rPr>
          <w:noProof/>
        </w:rPr>
        <w:lastRenderedPageBreak/>
        <w:drawing>
          <wp:inline distT="0" distB="0" distL="0" distR="0" wp14:anchorId="7CBADA76" wp14:editId="6FAECA46">
            <wp:extent cx="4626864" cy="2404872"/>
            <wp:effectExtent l="0" t="0" r="0" b="0"/>
            <wp:docPr id="20" name="Picture 20" descr="Screen shot of the course tile for Learn-IT 2022 in the My Dashboard page of the TDM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creen shot of the course tile for Learn-IT 2022 in the My Dashboard page of the TDM site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486" w:rsidSect="00734486">
      <w:headerReference w:type="default" r:id="rId17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F5C9" w14:textId="77777777" w:rsidR="00521733" w:rsidRDefault="00521733" w:rsidP="00EB375C">
      <w:r>
        <w:separator/>
      </w:r>
    </w:p>
    <w:p w14:paraId="2CD7DAD7" w14:textId="77777777" w:rsidR="00521733" w:rsidRDefault="00521733"/>
  </w:endnote>
  <w:endnote w:type="continuationSeparator" w:id="0">
    <w:p w14:paraId="6023E7DF" w14:textId="77777777" w:rsidR="00521733" w:rsidRDefault="00521733" w:rsidP="00EB375C">
      <w:r>
        <w:continuationSeparator/>
      </w:r>
    </w:p>
    <w:p w14:paraId="5C834906" w14:textId="77777777" w:rsidR="00521733" w:rsidRDefault="00521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A735" w14:textId="77777777" w:rsidR="00521733" w:rsidRDefault="00521733" w:rsidP="00EB375C">
      <w:r>
        <w:separator/>
      </w:r>
    </w:p>
    <w:p w14:paraId="293B5C05" w14:textId="77777777" w:rsidR="00521733" w:rsidRDefault="00521733"/>
  </w:footnote>
  <w:footnote w:type="continuationSeparator" w:id="0">
    <w:p w14:paraId="47E40BC4" w14:textId="77777777" w:rsidR="00521733" w:rsidRDefault="00521733" w:rsidP="00EB375C">
      <w:r>
        <w:continuationSeparator/>
      </w:r>
    </w:p>
    <w:p w14:paraId="12A44382" w14:textId="77777777" w:rsidR="00521733" w:rsidRDefault="00521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F7A8" w14:textId="77777777" w:rsidR="008D29B7" w:rsidRDefault="008D29B7"/>
  <w:p w14:paraId="02C5036A" w14:textId="77777777" w:rsidR="008D29B7" w:rsidRDefault="008D2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3C5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B23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BBE59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56A7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20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88E46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58B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A687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F094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760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6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77EFF"/>
    <w:multiLevelType w:val="hybridMultilevel"/>
    <w:tmpl w:val="8D2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20D2"/>
    <w:multiLevelType w:val="hybridMultilevel"/>
    <w:tmpl w:val="07F4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45042"/>
    <w:multiLevelType w:val="multilevel"/>
    <w:tmpl w:val="F7DC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67FB4"/>
    <w:multiLevelType w:val="hybridMultilevel"/>
    <w:tmpl w:val="F1BC7D4E"/>
    <w:lvl w:ilvl="0" w:tplc="14B0FEA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F7B8C"/>
    <w:multiLevelType w:val="hybridMultilevel"/>
    <w:tmpl w:val="AD6EFFA6"/>
    <w:lvl w:ilvl="0" w:tplc="14B0F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37D13"/>
    <w:multiLevelType w:val="hybridMultilevel"/>
    <w:tmpl w:val="165AFB72"/>
    <w:lvl w:ilvl="0" w:tplc="64D24C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70DA"/>
    <w:multiLevelType w:val="hybridMultilevel"/>
    <w:tmpl w:val="6750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EF"/>
    <w:rsid w:val="000029A8"/>
    <w:rsid w:val="000118C8"/>
    <w:rsid w:val="00013D62"/>
    <w:rsid w:val="00021BA6"/>
    <w:rsid w:val="00026A92"/>
    <w:rsid w:val="00042881"/>
    <w:rsid w:val="00053F4E"/>
    <w:rsid w:val="00060AC6"/>
    <w:rsid w:val="000715DC"/>
    <w:rsid w:val="00071D74"/>
    <w:rsid w:val="0008505B"/>
    <w:rsid w:val="0008685B"/>
    <w:rsid w:val="00090D55"/>
    <w:rsid w:val="00094D07"/>
    <w:rsid w:val="0009731F"/>
    <w:rsid w:val="000A367B"/>
    <w:rsid w:val="000A3D2D"/>
    <w:rsid w:val="000A4D0F"/>
    <w:rsid w:val="000A5617"/>
    <w:rsid w:val="000A7DD1"/>
    <w:rsid w:val="000B15B4"/>
    <w:rsid w:val="000B4072"/>
    <w:rsid w:val="000C6158"/>
    <w:rsid w:val="000C6C2B"/>
    <w:rsid w:val="000E59A5"/>
    <w:rsid w:val="001028C0"/>
    <w:rsid w:val="001057FE"/>
    <w:rsid w:val="001207A9"/>
    <w:rsid w:val="00124F46"/>
    <w:rsid w:val="00126DE8"/>
    <w:rsid w:val="001272A4"/>
    <w:rsid w:val="00127314"/>
    <w:rsid w:val="00141C9E"/>
    <w:rsid w:val="00160B4B"/>
    <w:rsid w:val="00170BF4"/>
    <w:rsid w:val="00172C4C"/>
    <w:rsid w:val="00177257"/>
    <w:rsid w:val="00177F5B"/>
    <w:rsid w:val="00181803"/>
    <w:rsid w:val="00182066"/>
    <w:rsid w:val="00197E58"/>
    <w:rsid w:val="001A2D60"/>
    <w:rsid w:val="001A52E7"/>
    <w:rsid w:val="001A5C7F"/>
    <w:rsid w:val="001A7105"/>
    <w:rsid w:val="001B0CD9"/>
    <w:rsid w:val="001B1B2A"/>
    <w:rsid w:val="001B2398"/>
    <w:rsid w:val="001D1B2A"/>
    <w:rsid w:val="001E15AB"/>
    <w:rsid w:val="001F5D6D"/>
    <w:rsid w:val="001F61A0"/>
    <w:rsid w:val="00201251"/>
    <w:rsid w:val="00205820"/>
    <w:rsid w:val="00213CB4"/>
    <w:rsid w:val="00220AA4"/>
    <w:rsid w:val="002302FC"/>
    <w:rsid w:val="00234886"/>
    <w:rsid w:val="00235F9D"/>
    <w:rsid w:val="00244993"/>
    <w:rsid w:val="0025335F"/>
    <w:rsid w:val="002535DF"/>
    <w:rsid w:val="00253BE5"/>
    <w:rsid w:val="00254293"/>
    <w:rsid w:val="00260CC9"/>
    <w:rsid w:val="00267E7B"/>
    <w:rsid w:val="002704C7"/>
    <w:rsid w:val="00271190"/>
    <w:rsid w:val="002726E4"/>
    <w:rsid w:val="00274D58"/>
    <w:rsid w:val="00275704"/>
    <w:rsid w:val="002819D7"/>
    <w:rsid w:val="00283694"/>
    <w:rsid w:val="0028450A"/>
    <w:rsid w:val="00284922"/>
    <w:rsid w:val="002864A5"/>
    <w:rsid w:val="0029506F"/>
    <w:rsid w:val="002A39BA"/>
    <w:rsid w:val="002A4954"/>
    <w:rsid w:val="002B3B14"/>
    <w:rsid w:val="002B7292"/>
    <w:rsid w:val="002C38D2"/>
    <w:rsid w:val="002D0F45"/>
    <w:rsid w:val="002D6478"/>
    <w:rsid w:val="002D670C"/>
    <w:rsid w:val="002E2017"/>
    <w:rsid w:val="003015A5"/>
    <w:rsid w:val="00303889"/>
    <w:rsid w:val="00304BDA"/>
    <w:rsid w:val="00305C94"/>
    <w:rsid w:val="003134C6"/>
    <w:rsid w:val="00314245"/>
    <w:rsid w:val="00314E42"/>
    <w:rsid w:val="003228A6"/>
    <w:rsid w:val="00334C5B"/>
    <w:rsid w:val="003363C6"/>
    <w:rsid w:val="00344703"/>
    <w:rsid w:val="003612CB"/>
    <w:rsid w:val="00370E4C"/>
    <w:rsid w:val="00373020"/>
    <w:rsid w:val="003817CF"/>
    <w:rsid w:val="00382B70"/>
    <w:rsid w:val="00385954"/>
    <w:rsid w:val="003916A8"/>
    <w:rsid w:val="003920E8"/>
    <w:rsid w:val="003949D7"/>
    <w:rsid w:val="003A1F83"/>
    <w:rsid w:val="003A29AA"/>
    <w:rsid w:val="003B4300"/>
    <w:rsid w:val="003C1A44"/>
    <w:rsid w:val="003C58EB"/>
    <w:rsid w:val="003D3995"/>
    <w:rsid w:val="003D4EF7"/>
    <w:rsid w:val="003D5182"/>
    <w:rsid w:val="003E12E3"/>
    <w:rsid w:val="003E1BA6"/>
    <w:rsid w:val="003E39C0"/>
    <w:rsid w:val="003F3027"/>
    <w:rsid w:val="00402678"/>
    <w:rsid w:val="004042C6"/>
    <w:rsid w:val="004123E2"/>
    <w:rsid w:val="00420665"/>
    <w:rsid w:val="004257A4"/>
    <w:rsid w:val="0042620D"/>
    <w:rsid w:val="00432CA7"/>
    <w:rsid w:val="00444560"/>
    <w:rsid w:val="00455B50"/>
    <w:rsid w:val="004822E1"/>
    <w:rsid w:val="00492F5F"/>
    <w:rsid w:val="004A3EDC"/>
    <w:rsid w:val="004A450B"/>
    <w:rsid w:val="004A6210"/>
    <w:rsid w:val="004B6D58"/>
    <w:rsid w:val="004C12AB"/>
    <w:rsid w:val="004C2F63"/>
    <w:rsid w:val="004C4837"/>
    <w:rsid w:val="004C5C34"/>
    <w:rsid w:val="004F042C"/>
    <w:rsid w:val="005011A2"/>
    <w:rsid w:val="005060B8"/>
    <w:rsid w:val="00513A22"/>
    <w:rsid w:val="00514067"/>
    <w:rsid w:val="005160A0"/>
    <w:rsid w:val="005214B7"/>
    <w:rsid w:val="00521733"/>
    <w:rsid w:val="00522FA9"/>
    <w:rsid w:val="00533D48"/>
    <w:rsid w:val="0054559E"/>
    <w:rsid w:val="005461F5"/>
    <w:rsid w:val="005472FC"/>
    <w:rsid w:val="005500F8"/>
    <w:rsid w:val="00550B49"/>
    <w:rsid w:val="00553E3A"/>
    <w:rsid w:val="00561C5E"/>
    <w:rsid w:val="00562704"/>
    <w:rsid w:val="00572BF5"/>
    <w:rsid w:val="00574F1C"/>
    <w:rsid w:val="005775B0"/>
    <w:rsid w:val="0059249D"/>
    <w:rsid w:val="00593B44"/>
    <w:rsid w:val="005B12C3"/>
    <w:rsid w:val="005C13AE"/>
    <w:rsid w:val="005C21A8"/>
    <w:rsid w:val="005E335A"/>
    <w:rsid w:val="005F4F54"/>
    <w:rsid w:val="00605A96"/>
    <w:rsid w:val="00612E55"/>
    <w:rsid w:val="006222DA"/>
    <w:rsid w:val="006256B5"/>
    <w:rsid w:val="0062578E"/>
    <w:rsid w:val="00636D5F"/>
    <w:rsid w:val="00643306"/>
    <w:rsid w:val="00643B01"/>
    <w:rsid w:val="00661FDF"/>
    <w:rsid w:val="006626D1"/>
    <w:rsid w:val="0066554D"/>
    <w:rsid w:val="00696BAC"/>
    <w:rsid w:val="006B1075"/>
    <w:rsid w:val="006B5679"/>
    <w:rsid w:val="006E6CDE"/>
    <w:rsid w:val="006F3CEB"/>
    <w:rsid w:val="006F57A3"/>
    <w:rsid w:val="00701AB5"/>
    <w:rsid w:val="00703BBB"/>
    <w:rsid w:val="007048EF"/>
    <w:rsid w:val="00707584"/>
    <w:rsid w:val="00710AA9"/>
    <w:rsid w:val="00722886"/>
    <w:rsid w:val="0073039B"/>
    <w:rsid w:val="00732692"/>
    <w:rsid w:val="0073360B"/>
    <w:rsid w:val="00734486"/>
    <w:rsid w:val="007418CA"/>
    <w:rsid w:val="00741D55"/>
    <w:rsid w:val="00755917"/>
    <w:rsid w:val="00765CEE"/>
    <w:rsid w:val="00771FFE"/>
    <w:rsid w:val="00773C3D"/>
    <w:rsid w:val="00774B6B"/>
    <w:rsid w:val="00781E26"/>
    <w:rsid w:val="00782553"/>
    <w:rsid w:val="00784E2B"/>
    <w:rsid w:val="0079638A"/>
    <w:rsid w:val="007966C6"/>
    <w:rsid w:val="007A546F"/>
    <w:rsid w:val="007A64D4"/>
    <w:rsid w:val="007B0B9D"/>
    <w:rsid w:val="007D11A4"/>
    <w:rsid w:val="007D2266"/>
    <w:rsid w:val="007F0484"/>
    <w:rsid w:val="007F3E8D"/>
    <w:rsid w:val="007F43F0"/>
    <w:rsid w:val="00813D10"/>
    <w:rsid w:val="00814AEE"/>
    <w:rsid w:val="008211E3"/>
    <w:rsid w:val="0082169B"/>
    <w:rsid w:val="0082528D"/>
    <w:rsid w:val="00835264"/>
    <w:rsid w:val="008413C3"/>
    <w:rsid w:val="00842511"/>
    <w:rsid w:val="00843A2C"/>
    <w:rsid w:val="008467CE"/>
    <w:rsid w:val="00847C54"/>
    <w:rsid w:val="00847E3E"/>
    <w:rsid w:val="008522B1"/>
    <w:rsid w:val="00853882"/>
    <w:rsid w:val="00862019"/>
    <w:rsid w:val="00884D0A"/>
    <w:rsid w:val="00885C40"/>
    <w:rsid w:val="008A2EB0"/>
    <w:rsid w:val="008A2EBC"/>
    <w:rsid w:val="008A7A0D"/>
    <w:rsid w:val="008C43B6"/>
    <w:rsid w:val="008D29B7"/>
    <w:rsid w:val="008D4224"/>
    <w:rsid w:val="008E2499"/>
    <w:rsid w:val="008E33A5"/>
    <w:rsid w:val="008E4673"/>
    <w:rsid w:val="008E4C56"/>
    <w:rsid w:val="008F24A6"/>
    <w:rsid w:val="008F320E"/>
    <w:rsid w:val="00901528"/>
    <w:rsid w:val="00905B05"/>
    <w:rsid w:val="009111D6"/>
    <w:rsid w:val="00913110"/>
    <w:rsid w:val="00925830"/>
    <w:rsid w:val="0093489C"/>
    <w:rsid w:val="009372C4"/>
    <w:rsid w:val="00941888"/>
    <w:rsid w:val="009424F1"/>
    <w:rsid w:val="009433E8"/>
    <w:rsid w:val="00944B11"/>
    <w:rsid w:val="00945067"/>
    <w:rsid w:val="00947142"/>
    <w:rsid w:val="00950B0D"/>
    <w:rsid w:val="0095121A"/>
    <w:rsid w:val="009515AD"/>
    <w:rsid w:val="009552DE"/>
    <w:rsid w:val="00961763"/>
    <w:rsid w:val="009708CF"/>
    <w:rsid w:val="00987954"/>
    <w:rsid w:val="009A2B99"/>
    <w:rsid w:val="009A631A"/>
    <w:rsid w:val="009B0E9D"/>
    <w:rsid w:val="009B13D3"/>
    <w:rsid w:val="009B36F9"/>
    <w:rsid w:val="009B5B1D"/>
    <w:rsid w:val="009B5E25"/>
    <w:rsid w:val="009C77FC"/>
    <w:rsid w:val="009D39A5"/>
    <w:rsid w:val="009E1D2A"/>
    <w:rsid w:val="009E6208"/>
    <w:rsid w:val="009E746B"/>
    <w:rsid w:val="009F55DF"/>
    <w:rsid w:val="009F61B0"/>
    <w:rsid w:val="00A113B4"/>
    <w:rsid w:val="00A1279A"/>
    <w:rsid w:val="00A12EBF"/>
    <w:rsid w:val="00A13DBB"/>
    <w:rsid w:val="00A14F68"/>
    <w:rsid w:val="00A24CD6"/>
    <w:rsid w:val="00A2759B"/>
    <w:rsid w:val="00A3512C"/>
    <w:rsid w:val="00A517CF"/>
    <w:rsid w:val="00A52017"/>
    <w:rsid w:val="00A5238A"/>
    <w:rsid w:val="00A55C7F"/>
    <w:rsid w:val="00A742BD"/>
    <w:rsid w:val="00A92B1A"/>
    <w:rsid w:val="00AA0F6F"/>
    <w:rsid w:val="00AA3219"/>
    <w:rsid w:val="00AA38E7"/>
    <w:rsid w:val="00AA6CD6"/>
    <w:rsid w:val="00AB6E8C"/>
    <w:rsid w:val="00AD029A"/>
    <w:rsid w:val="00AD1584"/>
    <w:rsid w:val="00AD15FC"/>
    <w:rsid w:val="00AD44A7"/>
    <w:rsid w:val="00AD45CD"/>
    <w:rsid w:val="00AE00AF"/>
    <w:rsid w:val="00AE1DFA"/>
    <w:rsid w:val="00AE4743"/>
    <w:rsid w:val="00AE6AA2"/>
    <w:rsid w:val="00AF141F"/>
    <w:rsid w:val="00AF5050"/>
    <w:rsid w:val="00AF77C0"/>
    <w:rsid w:val="00B03A2B"/>
    <w:rsid w:val="00B03F42"/>
    <w:rsid w:val="00B0673D"/>
    <w:rsid w:val="00B119D6"/>
    <w:rsid w:val="00B11A09"/>
    <w:rsid w:val="00B24C4C"/>
    <w:rsid w:val="00B349F6"/>
    <w:rsid w:val="00B35055"/>
    <w:rsid w:val="00B36C80"/>
    <w:rsid w:val="00B42A37"/>
    <w:rsid w:val="00B47FA4"/>
    <w:rsid w:val="00B5339C"/>
    <w:rsid w:val="00B8207F"/>
    <w:rsid w:val="00B931F9"/>
    <w:rsid w:val="00B947F1"/>
    <w:rsid w:val="00B96F87"/>
    <w:rsid w:val="00BA5602"/>
    <w:rsid w:val="00BB1857"/>
    <w:rsid w:val="00BB38A4"/>
    <w:rsid w:val="00BC272B"/>
    <w:rsid w:val="00BC3E06"/>
    <w:rsid w:val="00BD2550"/>
    <w:rsid w:val="00BD4566"/>
    <w:rsid w:val="00BD4DD8"/>
    <w:rsid w:val="00BE04E1"/>
    <w:rsid w:val="00BE26A5"/>
    <w:rsid w:val="00BE7395"/>
    <w:rsid w:val="00BF7478"/>
    <w:rsid w:val="00BF797F"/>
    <w:rsid w:val="00C02F90"/>
    <w:rsid w:val="00C07325"/>
    <w:rsid w:val="00C07A66"/>
    <w:rsid w:val="00C10EE4"/>
    <w:rsid w:val="00C16C60"/>
    <w:rsid w:val="00C2083F"/>
    <w:rsid w:val="00C25C83"/>
    <w:rsid w:val="00C27C1E"/>
    <w:rsid w:val="00C35704"/>
    <w:rsid w:val="00C45FC2"/>
    <w:rsid w:val="00C61467"/>
    <w:rsid w:val="00C70135"/>
    <w:rsid w:val="00C75158"/>
    <w:rsid w:val="00C907C4"/>
    <w:rsid w:val="00C976BA"/>
    <w:rsid w:val="00CA1942"/>
    <w:rsid w:val="00CA4333"/>
    <w:rsid w:val="00CA682B"/>
    <w:rsid w:val="00CA7428"/>
    <w:rsid w:val="00CA7BBE"/>
    <w:rsid w:val="00CB7085"/>
    <w:rsid w:val="00CD46FE"/>
    <w:rsid w:val="00CD7A6D"/>
    <w:rsid w:val="00CE1734"/>
    <w:rsid w:val="00CF12BB"/>
    <w:rsid w:val="00CF228B"/>
    <w:rsid w:val="00CF4856"/>
    <w:rsid w:val="00D015AF"/>
    <w:rsid w:val="00D02B04"/>
    <w:rsid w:val="00D10780"/>
    <w:rsid w:val="00D22F38"/>
    <w:rsid w:val="00D232B2"/>
    <w:rsid w:val="00D31EF7"/>
    <w:rsid w:val="00D324B2"/>
    <w:rsid w:val="00D3277C"/>
    <w:rsid w:val="00D340E6"/>
    <w:rsid w:val="00D342F7"/>
    <w:rsid w:val="00D34DC1"/>
    <w:rsid w:val="00D3563F"/>
    <w:rsid w:val="00D465EB"/>
    <w:rsid w:val="00D57FE7"/>
    <w:rsid w:val="00D6628D"/>
    <w:rsid w:val="00D7043A"/>
    <w:rsid w:val="00D7212F"/>
    <w:rsid w:val="00D7547C"/>
    <w:rsid w:val="00D7681B"/>
    <w:rsid w:val="00D76864"/>
    <w:rsid w:val="00D76FF7"/>
    <w:rsid w:val="00D91EE5"/>
    <w:rsid w:val="00D94147"/>
    <w:rsid w:val="00D96B49"/>
    <w:rsid w:val="00DB5701"/>
    <w:rsid w:val="00DC70C4"/>
    <w:rsid w:val="00DC7398"/>
    <w:rsid w:val="00DE5A1D"/>
    <w:rsid w:val="00DF0DC1"/>
    <w:rsid w:val="00DF310F"/>
    <w:rsid w:val="00E113C3"/>
    <w:rsid w:val="00E25F60"/>
    <w:rsid w:val="00E26660"/>
    <w:rsid w:val="00E34AB1"/>
    <w:rsid w:val="00E403BF"/>
    <w:rsid w:val="00E42FD1"/>
    <w:rsid w:val="00E517D9"/>
    <w:rsid w:val="00E6006E"/>
    <w:rsid w:val="00E7595C"/>
    <w:rsid w:val="00E77C28"/>
    <w:rsid w:val="00E85A12"/>
    <w:rsid w:val="00E91858"/>
    <w:rsid w:val="00E96000"/>
    <w:rsid w:val="00EA640B"/>
    <w:rsid w:val="00EB0540"/>
    <w:rsid w:val="00EB2E6C"/>
    <w:rsid w:val="00EB375C"/>
    <w:rsid w:val="00EB7F9C"/>
    <w:rsid w:val="00EC6F11"/>
    <w:rsid w:val="00ED60BB"/>
    <w:rsid w:val="00EE623E"/>
    <w:rsid w:val="00EE79B0"/>
    <w:rsid w:val="00F03072"/>
    <w:rsid w:val="00F071AA"/>
    <w:rsid w:val="00F10471"/>
    <w:rsid w:val="00F10EF9"/>
    <w:rsid w:val="00F12FF3"/>
    <w:rsid w:val="00F21F9C"/>
    <w:rsid w:val="00F22F4D"/>
    <w:rsid w:val="00F2404E"/>
    <w:rsid w:val="00F44836"/>
    <w:rsid w:val="00F54BB4"/>
    <w:rsid w:val="00F55FE7"/>
    <w:rsid w:val="00F56D09"/>
    <w:rsid w:val="00F575C0"/>
    <w:rsid w:val="00F578D7"/>
    <w:rsid w:val="00F6119A"/>
    <w:rsid w:val="00F63B1B"/>
    <w:rsid w:val="00F66B68"/>
    <w:rsid w:val="00F708C9"/>
    <w:rsid w:val="00F7577B"/>
    <w:rsid w:val="00F777C1"/>
    <w:rsid w:val="00F8069E"/>
    <w:rsid w:val="00F84D5C"/>
    <w:rsid w:val="00FC00DD"/>
    <w:rsid w:val="00FC0BFE"/>
    <w:rsid w:val="00FC4BDE"/>
    <w:rsid w:val="00FD79B9"/>
    <w:rsid w:val="00FD7E4E"/>
    <w:rsid w:val="00FE617C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BB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398"/>
    <w:pPr>
      <w:spacing w:after="120"/>
    </w:pPr>
    <w:rPr>
      <w:rFonts w:asciiTheme="majorHAnsi" w:hAnsiTheme="maj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681B"/>
    <w:pPr>
      <w:keepNext/>
      <w:keepLines/>
      <w:suppressAutoHyphens/>
      <w:spacing w:before="240" w:after="40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7681B"/>
    <w:pPr>
      <w:keepNext/>
      <w:keepLines/>
      <w:spacing w:before="240" w:after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02F9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48EF"/>
    <w:rPr>
      <w:color w:val="0000FF"/>
      <w:u w:val="single"/>
    </w:rPr>
  </w:style>
  <w:style w:type="character" w:styleId="Strong">
    <w:name w:val="Strong"/>
    <w:uiPriority w:val="22"/>
    <w:qFormat/>
    <w:rsid w:val="001A7105"/>
    <w:rPr>
      <w:b/>
      <w:bCs/>
    </w:rPr>
  </w:style>
  <w:style w:type="paragraph" w:styleId="Footer">
    <w:name w:val="footer"/>
    <w:basedOn w:val="Normal"/>
    <w:link w:val="FooterChar"/>
    <w:rsid w:val="00EB37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375C"/>
    <w:rPr>
      <w:sz w:val="24"/>
      <w:szCs w:val="24"/>
    </w:rPr>
  </w:style>
  <w:style w:type="paragraph" w:customStyle="1" w:styleId="Subheading">
    <w:name w:val="Subheading"/>
    <w:basedOn w:val="Normal"/>
    <w:qFormat/>
    <w:rsid w:val="005160A0"/>
    <w:pPr>
      <w:spacing w:before="300"/>
    </w:pPr>
    <w:rPr>
      <w:rFonts w:cs="Arial"/>
      <w:b/>
    </w:rPr>
  </w:style>
  <w:style w:type="table" w:styleId="LightShading-Accent1">
    <w:name w:val="Light Shading Accent 1"/>
    <w:basedOn w:val="TableNormal"/>
    <w:uiPriority w:val="60"/>
    <w:rsid w:val="00EB2E6C"/>
    <w:rPr>
      <w:rFonts w:asciiTheme="minorHAnsi" w:eastAsiaTheme="minorEastAsia" w:hAnsiTheme="minorHAnsi" w:cstheme="minorBidi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D7681B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customStyle="1" w:styleId="Normalcentered">
    <w:name w:val="Normal centered"/>
    <w:basedOn w:val="Normal"/>
    <w:qFormat/>
    <w:rsid w:val="001B2398"/>
    <w:pPr>
      <w:jc w:val="center"/>
    </w:pPr>
  </w:style>
  <w:style w:type="paragraph" w:styleId="Subtitle">
    <w:name w:val="Subtitle"/>
    <w:basedOn w:val="Normal"/>
    <w:next w:val="Normal"/>
    <w:link w:val="SubtitleChar"/>
    <w:qFormat/>
    <w:rsid w:val="000A5617"/>
    <w:pPr>
      <w:numPr>
        <w:ilvl w:val="1"/>
      </w:numPr>
      <w:spacing w:after="240"/>
      <w:jc w:val="center"/>
    </w:pPr>
    <w:rPr>
      <w:rFonts w:eastAsiaTheme="minorEastAsia" w:cstheme="minorBidi"/>
      <w:color w:val="000000" w:themeColor="text1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0A5617"/>
    <w:rPr>
      <w:rFonts w:asciiTheme="majorHAnsi" w:eastAsiaTheme="minorEastAsia" w:hAnsiTheme="majorHAnsi" w:cstheme="minorBidi"/>
      <w:color w:val="000000" w:themeColor="text1"/>
      <w:spacing w:val="15"/>
      <w:sz w:val="24"/>
      <w:szCs w:val="22"/>
    </w:rPr>
  </w:style>
  <w:style w:type="paragraph" w:styleId="ListNumber">
    <w:name w:val="List Number"/>
    <w:basedOn w:val="Normal"/>
    <w:rsid w:val="003949D7"/>
    <w:pPr>
      <w:numPr>
        <w:numId w:val="16"/>
      </w:numPr>
      <w:contextualSpacing/>
    </w:pPr>
  </w:style>
  <w:style w:type="paragraph" w:styleId="ListBullet2">
    <w:name w:val="List Bullet 2"/>
    <w:basedOn w:val="Normal"/>
    <w:rsid w:val="00244993"/>
    <w:pPr>
      <w:numPr>
        <w:numId w:val="4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715DC"/>
    <w:pPr>
      <w:spacing w:after="100"/>
    </w:pPr>
  </w:style>
  <w:style w:type="paragraph" w:styleId="ListParagraph">
    <w:name w:val="List Paragraph"/>
    <w:basedOn w:val="Normal"/>
    <w:uiPriority w:val="72"/>
    <w:rsid w:val="00BC3E06"/>
    <w:pPr>
      <w:ind w:left="720"/>
      <w:contextualSpacing/>
    </w:pPr>
  </w:style>
  <w:style w:type="character" w:styleId="FollowedHyperlink">
    <w:name w:val="FollowedHyperlink"/>
    <w:basedOn w:val="DefaultParagraphFont"/>
    <w:rsid w:val="00492F5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02F90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styleId="Emphasis">
    <w:name w:val="Emphasis"/>
    <w:basedOn w:val="DefaultParagraphFont"/>
    <w:qFormat/>
    <w:rsid w:val="00C02F90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7681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customStyle="1" w:styleId="Normalnospaceafter">
    <w:name w:val="Normal no space after"/>
    <w:basedOn w:val="Normal"/>
    <w:qFormat/>
    <w:rsid w:val="00835264"/>
    <w:pPr>
      <w:spacing w:after="0"/>
    </w:pPr>
  </w:style>
  <w:style w:type="paragraph" w:customStyle="1" w:styleId="Normalindented">
    <w:name w:val="Normal indented"/>
    <w:aliases w:val="no space after"/>
    <w:basedOn w:val="Normalnospaceafter"/>
    <w:qFormat/>
    <w:rsid w:val="00C61467"/>
    <w:pPr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572B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2BF5"/>
    <w:pPr>
      <w:spacing w:after="100"/>
      <w:ind w:left="440"/>
    </w:pPr>
  </w:style>
  <w:style w:type="character" w:styleId="UnresolvedMention">
    <w:name w:val="Unresolved Mention"/>
    <w:basedOn w:val="DefaultParagraphFont"/>
    <w:rsid w:val="000A561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AE00AF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E0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E00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00AF"/>
    <w:rPr>
      <w:rFonts w:asciiTheme="majorHAnsi" w:hAnsiTheme="maj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ohubteam.medium.com/how-to-enable-third-party-cookies-on-your-browsers-f9a8143b8cc5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inderliter1@niu.edu" TargetMode="Externa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edu.niu.edu/etra/learn-it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Registering for Learn-IT via TDM</vt:lpstr>
    </vt:vector>
  </TitlesOfParts>
  <Manager/>
  <Company>NIU</Company>
  <LinksUpToDate>false</LinksUpToDate>
  <CharactersWithSpaces>3630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Registering for Learn-IT via TDM</dc:title>
  <dc:subject>Registering for Learn-IT via TDM</dc:subject>
  <dc:creator>Dr. Hal Hinderliter</dc:creator>
  <cp:keywords/>
  <dc:description/>
  <cp:lastModifiedBy>Jessica Webb</cp:lastModifiedBy>
  <cp:revision>2</cp:revision>
  <cp:lastPrinted>2022-06-24T21:44:00Z</cp:lastPrinted>
  <dcterms:created xsi:type="dcterms:W3CDTF">2022-06-28T16:53:00Z</dcterms:created>
  <dcterms:modified xsi:type="dcterms:W3CDTF">2022-06-28T16:53:00Z</dcterms:modified>
  <cp:category/>
</cp:coreProperties>
</file>